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90A" w14:textId="77777777" w:rsidR="001323F1" w:rsidRPr="00A23F32" w:rsidRDefault="001D7AF2" w:rsidP="00D60050">
      <w:pPr>
        <w:contextualSpacing/>
        <w:jc w:val="center"/>
        <w:rPr>
          <w:b/>
          <w:bCs/>
          <w:sz w:val="36"/>
          <w:szCs w:val="36"/>
        </w:rPr>
      </w:pPr>
      <w:r w:rsidRPr="00A23F32">
        <w:rPr>
          <w:rFonts w:hint="eastAsia"/>
          <w:b/>
          <w:bCs/>
          <w:sz w:val="36"/>
          <w:szCs w:val="36"/>
        </w:rPr>
        <w:t xml:space="preserve">Declaration </w:t>
      </w:r>
      <w:r w:rsidR="001323F1" w:rsidRPr="00A23F32">
        <w:rPr>
          <w:rFonts w:hint="eastAsia"/>
          <w:b/>
          <w:bCs/>
          <w:sz w:val="36"/>
          <w:szCs w:val="36"/>
        </w:rPr>
        <w:t xml:space="preserve">&amp; Checklist </w:t>
      </w:r>
      <w:r w:rsidRPr="00A23F32">
        <w:rPr>
          <w:rFonts w:hint="eastAsia"/>
          <w:b/>
          <w:bCs/>
          <w:sz w:val="36"/>
          <w:szCs w:val="36"/>
        </w:rPr>
        <w:t xml:space="preserve">for shipment of </w:t>
      </w:r>
    </w:p>
    <w:p w14:paraId="4338CACE" w14:textId="77777777" w:rsidR="001D7AF2" w:rsidRPr="00A23F32" w:rsidRDefault="001D7AF2" w:rsidP="00D60050">
      <w:pPr>
        <w:contextualSpacing/>
        <w:jc w:val="center"/>
        <w:rPr>
          <w:b/>
          <w:bCs/>
          <w:sz w:val="36"/>
          <w:szCs w:val="36"/>
        </w:rPr>
      </w:pPr>
      <w:r w:rsidRPr="00A23F32">
        <w:rPr>
          <w:rFonts w:hint="eastAsia"/>
          <w:b/>
          <w:bCs/>
          <w:sz w:val="36"/>
          <w:szCs w:val="36"/>
        </w:rPr>
        <w:t xml:space="preserve">Battery Electric </w:t>
      </w:r>
      <w:r w:rsidR="00241BA3" w:rsidRPr="00A23F32">
        <w:rPr>
          <w:b/>
          <w:bCs/>
          <w:sz w:val="36"/>
          <w:szCs w:val="36"/>
        </w:rPr>
        <w:t>Vehicle (</w:t>
      </w:r>
      <w:r w:rsidR="00E41942" w:rsidRPr="00A23F32">
        <w:rPr>
          <w:rFonts w:hint="eastAsia"/>
          <w:b/>
          <w:bCs/>
          <w:sz w:val="36"/>
          <w:szCs w:val="36"/>
        </w:rPr>
        <w:t>BEV)</w:t>
      </w:r>
    </w:p>
    <w:p w14:paraId="74C9272F" w14:textId="77777777" w:rsidR="001323F1" w:rsidRDefault="001323F1" w:rsidP="00A120A6">
      <w:pPr>
        <w:contextualSpacing/>
        <w:jc w:val="center"/>
        <w:rPr>
          <w:lang w:val="en-US"/>
        </w:rPr>
      </w:pPr>
    </w:p>
    <w:p w14:paraId="63F13AEC" w14:textId="77777777" w:rsidR="001323F1" w:rsidRPr="00A120A6" w:rsidRDefault="00A120A6" w:rsidP="00A23F32">
      <w:pPr>
        <w:contextualSpacing/>
        <w:rPr>
          <w:lang w:val="en-US"/>
        </w:rPr>
      </w:pPr>
      <w:r w:rsidRPr="00A120A6">
        <w:rPr>
          <w:lang w:val="en-US"/>
        </w:rPr>
        <w:t xml:space="preserve">For the Loading of Battery Electric Vehicles (BEVs) on </w:t>
      </w:r>
      <w:r w:rsidR="00F57624">
        <w:rPr>
          <w:rFonts w:hint="eastAsia"/>
          <w:lang w:val="en-US"/>
        </w:rPr>
        <w:t>Ro-Ro</w:t>
      </w:r>
      <w:r w:rsidRPr="00A120A6">
        <w:rPr>
          <w:lang w:val="en-US"/>
        </w:rPr>
        <w:t xml:space="preserve"> Vessel</w:t>
      </w:r>
      <w:r w:rsidR="00F57624">
        <w:rPr>
          <w:rFonts w:hint="eastAsia"/>
          <w:lang w:val="en-US"/>
        </w:rPr>
        <w:t>s</w:t>
      </w:r>
      <w:r w:rsidR="001323F1">
        <w:rPr>
          <w:rFonts w:hint="eastAsia"/>
          <w:lang w:val="en-US"/>
        </w:rPr>
        <w:t>.</w:t>
      </w:r>
    </w:p>
    <w:p w14:paraId="386E4B86" w14:textId="77777777" w:rsidR="00A120A6" w:rsidRPr="00A120A6" w:rsidRDefault="00A120A6" w:rsidP="00A120A6">
      <w:pPr>
        <w:rPr>
          <w:lang w:val="en-US"/>
        </w:rPr>
      </w:pPr>
      <w:r w:rsidRPr="00A120A6">
        <w:rPr>
          <w:lang w:val="en-US"/>
        </w:rPr>
        <w:t xml:space="preserve">This checklist is based on the requirements of the IMDG Code (Special Provision SP961) for vehicles powered by lithium-ion batteries and transported on </w:t>
      </w:r>
      <w:r w:rsidR="00F57624">
        <w:rPr>
          <w:rFonts w:hint="eastAsia"/>
          <w:lang w:val="en-US"/>
        </w:rPr>
        <w:t>Ro-Ro</w:t>
      </w:r>
      <w:r w:rsidRPr="00A120A6">
        <w:rPr>
          <w:lang w:val="en-US"/>
        </w:rPr>
        <w:t xml:space="preserve"> vessels specifically designed and approved under SOLAS Chapter II-2/20.</w:t>
      </w:r>
    </w:p>
    <w:p w14:paraId="7A541AB5" w14:textId="77777777" w:rsidR="00A120A6" w:rsidRPr="009E71C4" w:rsidRDefault="00A120A6" w:rsidP="00A120A6">
      <w:pPr>
        <w:rPr>
          <w:b/>
          <w:bCs/>
          <w:lang w:val="en-US"/>
        </w:rPr>
      </w:pPr>
      <w:r w:rsidRPr="00A120A6">
        <w:rPr>
          <w:b/>
          <w:bCs/>
          <w:highlight w:val="yellow"/>
          <w:lang w:val="en-US"/>
        </w:rPr>
        <w:t>Vehicle VIN(s):</w:t>
      </w:r>
      <w:r w:rsidRPr="00A120A6">
        <w:rPr>
          <w:b/>
          <w:bCs/>
          <w:lang w:val="en-US"/>
        </w:rPr>
        <w:t xml:space="preserve"> </w:t>
      </w:r>
    </w:p>
    <w:p w14:paraId="07919974" w14:textId="77777777" w:rsidR="009E71C4" w:rsidRDefault="009E71C4" w:rsidP="00E94EE0">
      <w:pPr>
        <w:ind w:left="1560" w:hanging="120"/>
        <w:contextualSpacing/>
        <w:rPr>
          <w:lang w:val="en-US"/>
        </w:rPr>
      </w:pPr>
      <w:r>
        <w:rPr>
          <w:rFonts w:hint="eastAsia"/>
          <w:lang w:val="en-US"/>
        </w:rPr>
        <w:t xml:space="preserve">*In case of cargo volume is large, prepare attached VIN No. list and </w:t>
      </w:r>
      <w:r w:rsidR="00E94EE0">
        <w:rPr>
          <w:rFonts w:hint="eastAsia"/>
          <w:lang w:val="en-US"/>
        </w:rPr>
        <w:t xml:space="preserve">   </w:t>
      </w:r>
      <w:r>
        <w:rPr>
          <w:rFonts w:hint="eastAsia"/>
          <w:lang w:val="en-US"/>
        </w:rPr>
        <w:t>mentioned as below.</w:t>
      </w:r>
    </w:p>
    <w:p w14:paraId="77B8A8D1" w14:textId="77777777" w:rsidR="00A120A6" w:rsidRDefault="009E71C4" w:rsidP="00A120A6">
      <w:pPr>
        <w:ind w:left="720" w:firstLine="720"/>
        <w:contextualSpacing/>
        <w:rPr>
          <w:lang w:val="en-US"/>
        </w:rPr>
      </w:pPr>
      <w:r>
        <w:rPr>
          <w:rFonts w:hint="eastAsia"/>
          <w:lang w:val="en-US"/>
        </w:rPr>
        <w:t xml:space="preserve"> </w:t>
      </w:r>
      <w:r w:rsidRPr="002373DA">
        <w:rPr>
          <w:rFonts w:hint="eastAsia"/>
          <w:lang w:val="en-US"/>
        </w:rPr>
        <w:t>Example:</w:t>
      </w:r>
      <w:r>
        <w:rPr>
          <w:rFonts w:hint="eastAsia"/>
          <w:lang w:val="en-US"/>
        </w:rPr>
        <w:t xml:space="preserve"> </w:t>
      </w:r>
      <w:r w:rsidR="00A120A6" w:rsidRPr="00A120A6">
        <w:rPr>
          <w:lang w:val="en-US"/>
        </w:rPr>
        <w:t>Refer to attached list (Attachment 1)</w:t>
      </w:r>
    </w:p>
    <w:p w14:paraId="0231442E" w14:textId="77777777" w:rsidR="00E94EE0" w:rsidRPr="00A120A6" w:rsidRDefault="00E94EE0" w:rsidP="00A120A6">
      <w:pPr>
        <w:ind w:left="720" w:firstLine="720"/>
        <w:contextualSpacing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5670"/>
        <w:gridCol w:w="2551"/>
      </w:tblGrid>
      <w:tr w:rsidR="00A120A6" w:rsidRPr="00A120A6" w14:paraId="2676C43A" w14:textId="77777777" w:rsidTr="000E3CA1">
        <w:trPr>
          <w:trHeight w:val="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7113BB4" w14:textId="77777777" w:rsidR="00A120A6" w:rsidRPr="00A120A6" w:rsidRDefault="00A120A6" w:rsidP="000E3CA1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A120A6">
              <w:rPr>
                <w:b/>
                <w:bCs/>
                <w:lang w:val="en-US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B2C3B91" w14:textId="77777777" w:rsidR="00A120A6" w:rsidRPr="00A120A6" w:rsidRDefault="00A120A6" w:rsidP="000E3CA1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A120A6">
              <w:rPr>
                <w:b/>
                <w:bCs/>
                <w:lang w:val="en-US"/>
              </w:rPr>
              <w:t>Checklist 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F5E59E" w14:textId="77777777" w:rsidR="00A120A6" w:rsidRPr="00A120A6" w:rsidRDefault="00A120A6" w:rsidP="000E3CA1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A120A6">
              <w:rPr>
                <w:b/>
                <w:bCs/>
                <w:lang w:val="en-US"/>
              </w:rPr>
              <w:t>Applicable</w:t>
            </w:r>
          </w:p>
        </w:tc>
      </w:tr>
      <w:tr w:rsidR="00A120A6" w:rsidRPr="00A120A6" w14:paraId="4E07DE8A" w14:textId="77777777" w:rsidTr="00A23F32">
        <w:trPr>
          <w:trHeight w:val="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B924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6C46" w14:textId="77777777" w:rsidR="00A120A6" w:rsidRPr="00A120A6" w:rsidRDefault="00A120A6" w:rsidP="00A120A6">
            <w:pPr>
              <w:spacing w:after="160" w:line="278" w:lineRule="auto"/>
              <w:rPr>
                <w:lang w:val="en-US"/>
              </w:rPr>
            </w:pPr>
            <w:r w:rsidRPr="00A120A6">
              <w:rPr>
                <w:lang w:val="en-US"/>
              </w:rPr>
              <w:t>No signs of leakage from battery or other components.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9D3D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☐ Yes ☐ N/A</w:t>
            </w:r>
          </w:p>
        </w:tc>
      </w:tr>
      <w:tr w:rsidR="00A120A6" w:rsidRPr="00A120A6" w14:paraId="746CBA70" w14:textId="77777777" w:rsidTr="00A23F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2283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AEEB" w14:textId="77777777" w:rsidR="00A120A6" w:rsidRPr="00A120A6" w:rsidRDefault="00A120A6" w:rsidP="00A120A6">
            <w:pPr>
              <w:spacing w:after="160" w:line="278" w:lineRule="auto"/>
              <w:rPr>
                <w:lang w:val="en-US"/>
              </w:rPr>
            </w:pPr>
            <w:r w:rsidRPr="00A120A6">
              <w:rPr>
                <w:lang w:val="en-US"/>
              </w:rPr>
              <w:t>Dangerous goods (e.g., fire extinguishers, airbags) securely mounted</w:t>
            </w:r>
            <w:r w:rsidR="00F57624">
              <w:rPr>
                <w:rFonts w:hint="eastAsia"/>
                <w:lang w:val="en-US"/>
              </w:rPr>
              <w:t xml:space="preserve"> </w:t>
            </w:r>
            <w:r w:rsidR="00C10C24">
              <w:rPr>
                <w:rFonts w:hint="eastAsia"/>
                <w:lang w:val="en-US"/>
              </w:rPr>
              <w:t xml:space="preserve">on </w:t>
            </w:r>
            <w:r w:rsidR="00F57624">
              <w:rPr>
                <w:rFonts w:hint="eastAsia"/>
                <w:lang w:val="en-US"/>
              </w:rPr>
              <w:t>the vehicle.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311B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☐ Yes ☐ N/A</w:t>
            </w:r>
          </w:p>
        </w:tc>
      </w:tr>
      <w:tr w:rsidR="00A120A6" w:rsidRPr="00A120A6" w14:paraId="439D2AB1" w14:textId="77777777" w:rsidTr="00A23F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E9B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43C9" w14:textId="77777777" w:rsidR="00A120A6" w:rsidRPr="00A120A6" w:rsidRDefault="00A120A6" w:rsidP="00A120A6">
            <w:pPr>
              <w:spacing w:after="160" w:line="278" w:lineRule="auto"/>
              <w:rPr>
                <w:lang w:val="en-US"/>
              </w:rPr>
            </w:pPr>
            <w:r w:rsidRPr="00A120A6">
              <w:rPr>
                <w:lang w:val="en-US"/>
              </w:rPr>
              <w:t>Vehicle is unpacked, self-propelled, and fully operational.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47B1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☐ Yes ☐ N/A</w:t>
            </w:r>
          </w:p>
        </w:tc>
      </w:tr>
      <w:tr w:rsidR="00A120A6" w:rsidRPr="00A120A6" w14:paraId="3EBDD6BF" w14:textId="77777777" w:rsidTr="00A23F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9686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84CC" w14:textId="77777777" w:rsidR="00A120A6" w:rsidRPr="00A120A6" w:rsidRDefault="00A120A6" w:rsidP="00A120A6">
            <w:pPr>
              <w:spacing w:after="160" w:line="278" w:lineRule="auto"/>
              <w:rPr>
                <w:lang w:val="en-US"/>
              </w:rPr>
            </w:pPr>
            <w:r w:rsidRPr="00A120A6">
              <w:rPr>
                <w:lang w:val="en-US"/>
              </w:rPr>
              <w:t>Lithium batteries comply with IMDG Code 2.9.4 (excluding prototypes/small production runs).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22A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☐ Yes ☐ N/A</w:t>
            </w:r>
          </w:p>
        </w:tc>
      </w:tr>
      <w:tr w:rsidR="00A120A6" w:rsidRPr="00A120A6" w14:paraId="22062630" w14:textId="77777777" w:rsidTr="00A23F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2DCA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E0A" w14:textId="77777777" w:rsidR="00A120A6" w:rsidRPr="00A120A6" w:rsidRDefault="00A120A6" w:rsidP="00A120A6">
            <w:pPr>
              <w:spacing w:after="160" w:line="278" w:lineRule="auto"/>
              <w:rPr>
                <w:lang w:val="en-US"/>
              </w:rPr>
            </w:pPr>
            <w:r w:rsidRPr="00A120A6">
              <w:rPr>
                <w:lang w:val="en-US"/>
              </w:rPr>
              <w:t xml:space="preserve">No </w:t>
            </w:r>
            <w:r w:rsidR="00A23F32">
              <w:rPr>
                <w:lang w:val="en-US"/>
              </w:rPr>
              <w:t>history</w:t>
            </w:r>
            <w:r w:rsidR="00A23F32">
              <w:rPr>
                <w:rFonts w:hint="eastAsia"/>
                <w:lang w:val="en-US"/>
              </w:rPr>
              <w:t xml:space="preserve"> of </w:t>
            </w:r>
            <w:r w:rsidRPr="00A120A6">
              <w:rPr>
                <w:lang w:val="en-US"/>
              </w:rPr>
              <w:t xml:space="preserve">flood damage, no contact damage on </w:t>
            </w:r>
            <w:r w:rsidR="00A23F32">
              <w:rPr>
                <w:rFonts w:hint="eastAsia"/>
                <w:lang w:val="en-US"/>
              </w:rPr>
              <w:t xml:space="preserve">Lithium </w:t>
            </w:r>
            <w:r w:rsidRPr="00A120A6">
              <w:rPr>
                <w:lang w:val="en-US"/>
              </w:rPr>
              <w:t xml:space="preserve">battery, and no modification </w:t>
            </w:r>
            <w:r w:rsidR="00A23F32">
              <w:rPr>
                <w:rFonts w:hint="eastAsia"/>
                <w:lang w:val="en-US"/>
              </w:rPr>
              <w:t>including</w:t>
            </w:r>
            <w:r w:rsidRPr="00A120A6">
              <w:rPr>
                <w:lang w:val="en-US"/>
              </w:rPr>
              <w:t xml:space="preserve"> part</w:t>
            </w:r>
            <w:r w:rsidR="00A23F32">
              <w:rPr>
                <w:rFonts w:hint="eastAsia"/>
                <w:lang w:val="en-US"/>
              </w:rPr>
              <w:t>s</w:t>
            </w:r>
            <w:r w:rsidRPr="00A120A6">
              <w:rPr>
                <w:lang w:val="en-US"/>
              </w:rPr>
              <w:t xml:space="preserve"> replacement.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9D32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  <w:r w:rsidRPr="00A120A6">
              <w:rPr>
                <w:lang w:val="en-US"/>
              </w:rPr>
              <w:t>☐ Yes ☐ N/A</w:t>
            </w:r>
          </w:p>
        </w:tc>
      </w:tr>
    </w:tbl>
    <w:p w14:paraId="60F3BA8E" w14:textId="77777777" w:rsidR="00A120A6" w:rsidRPr="00A120A6" w:rsidRDefault="00A120A6" w:rsidP="00A120A6">
      <w:pPr>
        <w:rPr>
          <w:b/>
          <w:bCs/>
          <w:u w:val="single"/>
          <w:lang w:val="en-US"/>
        </w:rPr>
      </w:pPr>
      <w:r w:rsidRPr="00A120A6">
        <w:rPr>
          <w:lang w:val="en-US"/>
        </w:rPr>
        <w:br/>
      </w:r>
      <w:r w:rsidRPr="00A120A6">
        <w:rPr>
          <w:b/>
          <w:bCs/>
          <w:u w:val="single"/>
          <w:lang w:val="en-US"/>
        </w:rPr>
        <w:t>Declaration</w:t>
      </w:r>
    </w:p>
    <w:p w14:paraId="0148CDE1" w14:textId="77777777" w:rsidR="00A120A6" w:rsidRPr="00A120A6" w:rsidRDefault="00A120A6" w:rsidP="009E71C4">
      <w:pPr>
        <w:rPr>
          <w:lang w:val="en-US"/>
        </w:rPr>
      </w:pPr>
      <w:r w:rsidRPr="00A120A6">
        <w:rPr>
          <w:lang w:val="en-US"/>
        </w:rPr>
        <w:t xml:space="preserve">By signing below, the shipper confirms that all above conditions are fulfilled or not </w:t>
      </w:r>
      <w:proofErr w:type="gramStart"/>
      <w:r w:rsidRPr="00A120A6">
        <w:rPr>
          <w:lang w:val="en-US"/>
        </w:rPr>
        <w:t>applicable, and</w:t>
      </w:r>
      <w:proofErr w:type="gramEnd"/>
      <w:r w:rsidRPr="00A120A6">
        <w:rPr>
          <w:lang w:val="en-US"/>
        </w:rPr>
        <w:t xml:space="preserve"> agrees that the Battery Electric Vehicle (BEV) is exempted for transport under SP961 of the IMDG Code</w:t>
      </w:r>
      <w:r w:rsidR="00A23F32">
        <w:rPr>
          <w:rFonts w:hint="eastAsia"/>
          <w:lang w:val="en-US"/>
        </w:rPr>
        <w:t xml:space="preserve"> and latest KL CAC (K Line Cargo Acceptance Criteria.)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3638"/>
        <w:gridCol w:w="3307"/>
      </w:tblGrid>
      <w:tr w:rsidR="00A120A6" w:rsidRPr="00A120A6" w14:paraId="6E806B27" w14:textId="77777777" w:rsidTr="002B0C01">
        <w:trPr>
          <w:trHeight w:val="3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10EE09E" w14:textId="77777777" w:rsidR="00A120A6" w:rsidRPr="00A120A6" w:rsidRDefault="00A23F32" w:rsidP="00A120A6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0E3CA1">
              <w:rPr>
                <w:rFonts w:hint="eastAsia"/>
                <w:b/>
                <w:bCs/>
                <w:lang w:val="en-US"/>
              </w:rPr>
              <w:t>Date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2CBE9DD" w14:textId="77777777" w:rsidR="00A120A6" w:rsidRPr="00A120A6" w:rsidRDefault="00A23F32" w:rsidP="00A120A6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0E3CA1">
              <w:rPr>
                <w:rFonts w:hint="eastAsia"/>
                <w:b/>
                <w:bCs/>
                <w:lang w:val="en-US"/>
              </w:rPr>
              <w:t>Name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3D787C5" w14:textId="77777777" w:rsidR="00A120A6" w:rsidRPr="00A120A6" w:rsidRDefault="00A23F32" w:rsidP="00A120A6">
            <w:pPr>
              <w:spacing w:after="160" w:line="278" w:lineRule="auto"/>
              <w:jc w:val="center"/>
              <w:rPr>
                <w:b/>
                <w:bCs/>
                <w:lang w:val="en-US"/>
              </w:rPr>
            </w:pPr>
            <w:r w:rsidRPr="000E3CA1">
              <w:rPr>
                <w:rFonts w:hint="eastAsia"/>
                <w:b/>
                <w:bCs/>
                <w:lang w:val="en-US"/>
              </w:rPr>
              <w:t>Signature</w:t>
            </w:r>
          </w:p>
        </w:tc>
      </w:tr>
      <w:tr w:rsidR="00A120A6" w:rsidRPr="00A120A6" w14:paraId="43A96DF2" w14:textId="77777777" w:rsidTr="002B0C01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829" w14:textId="77777777" w:rsid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</w:p>
          <w:p w14:paraId="218F0370" w14:textId="77777777" w:rsidR="009E71C4" w:rsidRPr="00A120A6" w:rsidRDefault="009E71C4" w:rsidP="00A120A6">
            <w:pPr>
              <w:spacing w:after="160" w:line="278" w:lineRule="auto"/>
              <w:jc w:val="center"/>
              <w:rPr>
                <w:lang w:val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1AA" w14:textId="77777777" w:rsid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</w:p>
          <w:p w14:paraId="05436F4C" w14:textId="77777777" w:rsidR="009E71C4" w:rsidRPr="00A120A6" w:rsidRDefault="009E71C4" w:rsidP="00A120A6">
            <w:pPr>
              <w:spacing w:after="160" w:line="278" w:lineRule="auto"/>
              <w:jc w:val="center"/>
              <w:rPr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45B" w14:textId="77777777" w:rsidR="00A120A6" w:rsidRPr="00A120A6" w:rsidRDefault="00A120A6" w:rsidP="00A120A6">
            <w:pPr>
              <w:spacing w:after="160" w:line="278" w:lineRule="auto"/>
              <w:jc w:val="center"/>
              <w:rPr>
                <w:lang w:val="en-US"/>
              </w:rPr>
            </w:pPr>
          </w:p>
        </w:tc>
      </w:tr>
    </w:tbl>
    <w:p w14:paraId="55EBC12B" w14:textId="77777777" w:rsidR="00D60050" w:rsidRPr="00D60050" w:rsidRDefault="00D60050" w:rsidP="00A23F32">
      <w:pPr>
        <w:rPr>
          <w:b/>
          <w:bCs/>
          <w:sz w:val="32"/>
          <w:szCs w:val="32"/>
        </w:rPr>
      </w:pPr>
    </w:p>
    <w:sectPr w:rsidR="00D60050" w:rsidRPr="00D600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ED4F" w14:textId="77777777" w:rsidR="00D52BA5" w:rsidRDefault="00D52BA5" w:rsidP="002B0C01">
      <w:pPr>
        <w:spacing w:after="0" w:line="240" w:lineRule="auto"/>
      </w:pPr>
      <w:r>
        <w:separator/>
      </w:r>
    </w:p>
  </w:endnote>
  <w:endnote w:type="continuationSeparator" w:id="0">
    <w:p w14:paraId="6F7763B2" w14:textId="77777777" w:rsidR="00D52BA5" w:rsidRDefault="00D52BA5" w:rsidP="002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CFE0" w14:textId="77777777" w:rsidR="002B0C01" w:rsidRPr="00E02081" w:rsidRDefault="002B0C01" w:rsidP="002B0C01">
    <w:pPr>
      <w:pStyle w:val="NormalWeb"/>
      <w:contextualSpacing/>
      <w:rPr>
        <w:rFonts w:eastAsiaTheme="minorEastAsia"/>
        <w:noProof/>
      </w:rPr>
    </w:pPr>
    <w:r>
      <w:rPr>
        <w:rFonts w:hint="eastAsia"/>
      </w:rPr>
      <w:t>Issued: K Line Thailand, C</w:t>
    </w:r>
    <w:r w:rsidR="00E02081">
      <w:rPr>
        <w:rFonts w:eastAsiaTheme="minorEastAsia" w:hint="eastAsia"/>
      </w:rPr>
      <w:t>ar Carrier Department</w:t>
    </w:r>
  </w:p>
  <w:p w14:paraId="222DB718" w14:textId="77777777" w:rsidR="002B0C01" w:rsidRPr="002B0C01" w:rsidRDefault="002B0C01" w:rsidP="002B0C01">
    <w:pPr>
      <w:pStyle w:val="NormalWeb"/>
      <w:contextualSpacing/>
      <w:rPr>
        <w:rFonts w:eastAsiaTheme="minorEastAsia"/>
        <w:noProof/>
      </w:rPr>
    </w:pPr>
    <w:r>
      <w:rPr>
        <w:rFonts w:hint="eastAsia"/>
      </w:rPr>
      <w:t>Date: 1</w:t>
    </w:r>
    <w:r w:rsidR="00E02081">
      <w:rPr>
        <w:rFonts w:eastAsiaTheme="minorEastAsia" w:hint="eastAsia"/>
      </w:rPr>
      <w:t>5</w:t>
    </w:r>
    <w:r w:rsidRPr="002B0C01">
      <w:rPr>
        <w:rFonts w:hint="eastAsia"/>
        <w:vertAlign w:val="superscript"/>
      </w:rPr>
      <w:t>th</w:t>
    </w:r>
    <w:r>
      <w:rPr>
        <w:rFonts w:hint="eastAsia"/>
      </w:rPr>
      <w:t xml:space="preserve"> Apr.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134B" w14:textId="77777777" w:rsidR="00D52BA5" w:rsidRDefault="00D52BA5" w:rsidP="002B0C01">
      <w:pPr>
        <w:spacing w:after="0" w:line="240" w:lineRule="auto"/>
      </w:pPr>
      <w:r>
        <w:separator/>
      </w:r>
    </w:p>
  </w:footnote>
  <w:footnote w:type="continuationSeparator" w:id="0">
    <w:p w14:paraId="5BB5054A" w14:textId="77777777" w:rsidR="00D52BA5" w:rsidRDefault="00D52BA5" w:rsidP="002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C6EE" w14:textId="77777777" w:rsidR="002B0C01" w:rsidRDefault="002B0C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8B29D2" wp14:editId="6A6D2682">
          <wp:simplePos x="0" y="0"/>
          <wp:positionH relativeFrom="margin">
            <wp:posOffset>5854700</wp:posOffset>
          </wp:positionH>
          <wp:positionV relativeFrom="paragraph">
            <wp:posOffset>-335280</wp:posOffset>
          </wp:positionV>
          <wp:extent cx="632460" cy="711200"/>
          <wp:effectExtent l="0" t="0" r="0" b="0"/>
          <wp:wrapTight wrapText="bothSides">
            <wp:wrapPolygon edited="0">
              <wp:start x="0" y="0"/>
              <wp:lineTo x="0" y="20829"/>
              <wp:lineTo x="20819" y="20829"/>
              <wp:lineTo x="20819" y="0"/>
              <wp:lineTo x="0" y="0"/>
            </wp:wrapPolygon>
          </wp:wrapTight>
          <wp:docPr id="2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F2"/>
    <w:rsid w:val="00011EEC"/>
    <w:rsid w:val="000227B6"/>
    <w:rsid w:val="00030479"/>
    <w:rsid w:val="000339D9"/>
    <w:rsid w:val="000E3CA1"/>
    <w:rsid w:val="001146E0"/>
    <w:rsid w:val="001323F1"/>
    <w:rsid w:val="001B00C7"/>
    <w:rsid w:val="001D7AF2"/>
    <w:rsid w:val="002373DA"/>
    <w:rsid w:val="00241BA3"/>
    <w:rsid w:val="002A0ADB"/>
    <w:rsid w:val="002A5D06"/>
    <w:rsid w:val="002B0C01"/>
    <w:rsid w:val="0039431D"/>
    <w:rsid w:val="003F3B9F"/>
    <w:rsid w:val="00566039"/>
    <w:rsid w:val="005F08A7"/>
    <w:rsid w:val="00721E7D"/>
    <w:rsid w:val="00727CAE"/>
    <w:rsid w:val="0077503A"/>
    <w:rsid w:val="00795395"/>
    <w:rsid w:val="007E319A"/>
    <w:rsid w:val="00867023"/>
    <w:rsid w:val="00936D04"/>
    <w:rsid w:val="00940EDA"/>
    <w:rsid w:val="0099273C"/>
    <w:rsid w:val="009E71C4"/>
    <w:rsid w:val="00A120A6"/>
    <w:rsid w:val="00A23F32"/>
    <w:rsid w:val="00B612AA"/>
    <w:rsid w:val="00C10C24"/>
    <w:rsid w:val="00CC6603"/>
    <w:rsid w:val="00D52BA5"/>
    <w:rsid w:val="00D60050"/>
    <w:rsid w:val="00D66175"/>
    <w:rsid w:val="00E02081"/>
    <w:rsid w:val="00E2069F"/>
    <w:rsid w:val="00E41942"/>
    <w:rsid w:val="00E94EE0"/>
    <w:rsid w:val="00F57624"/>
    <w:rsid w:val="00F77504"/>
    <w:rsid w:val="00F8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1E91C"/>
  <w15:chartTrackingRefBased/>
  <w15:docId w15:val="{88D562C3-31AE-42DB-84BC-2A8D052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A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01"/>
  </w:style>
  <w:style w:type="paragraph" w:styleId="Footer">
    <w:name w:val="footer"/>
    <w:basedOn w:val="Normal"/>
    <w:link w:val="FooterChar"/>
    <w:uiPriority w:val="99"/>
    <w:unhideWhenUsed/>
    <w:rsid w:val="002B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01"/>
  </w:style>
  <w:style w:type="paragraph" w:styleId="NormalWeb">
    <w:name w:val="Normal (Web)"/>
    <w:basedOn w:val="Normal"/>
    <w:uiPriority w:val="99"/>
    <w:unhideWhenUsed/>
    <w:rsid w:val="002B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0A49-F77B-4E1C-836C-78EB57CB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Kitamoto, Tatsumi (KLPL CCG)</dc:creator>
  <cp:keywords/>
  <dc:description/>
  <cp:lastModifiedBy>Kawadee, Sakkrathok (KTL CCD)</cp:lastModifiedBy>
  <cp:revision>2</cp:revision>
  <dcterms:created xsi:type="dcterms:W3CDTF">2026-02-20T07:42:00Z</dcterms:created>
  <dcterms:modified xsi:type="dcterms:W3CDTF">2026-02-20T07:42:00Z</dcterms:modified>
</cp:coreProperties>
</file>